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Content>
          <w:r w:rsidR="000779B4">
            <w:rPr>
              <w:b/>
              <w:sz w:val="22"/>
              <w:szCs w:val="22"/>
            </w:rPr>
            <w:t>Комплекс работ по</w:t>
          </w:r>
          <w:r w:rsidR="000779B4" w:rsidRPr="00D30D0A">
            <w:rPr>
              <w:b/>
              <w:sz w:val="20"/>
              <w:szCs w:val="20"/>
            </w:rPr>
            <w:t xml:space="preserve"> монтажу автоматической пожарной сигнализации и автоматической системы </w:t>
          </w:r>
          <w:proofErr w:type="spellStart"/>
          <w:r w:rsidR="000779B4" w:rsidRPr="00D30D0A">
            <w:rPr>
              <w:b/>
              <w:sz w:val="20"/>
              <w:szCs w:val="20"/>
            </w:rPr>
            <w:t>газотушения</w:t>
          </w:r>
          <w:proofErr w:type="spellEnd"/>
          <w:r w:rsidR="000779B4" w:rsidRPr="00D30D0A">
            <w:rPr>
              <w:b/>
              <w:sz w:val="20"/>
              <w:szCs w:val="20"/>
            </w:rPr>
            <w:t xml:space="preserve"> на объектах завода</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BF1BE6"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proofErr w:type="gramStart"/>
          <w:r w:rsidR="00541DF1">
            <w:rPr>
              <w:sz w:val="22"/>
              <w:szCs w:val="22"/>
            </w:rPr>
            <w:t>с даты подписания</w:t>
          </w:r>
          <w:proofErr w:type="gramEnd"/>
          <w:r w:rsidR="00541DF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38126F">
            <w:rPr>
              <w:sz w:val="22"/>
              <w:szCs w:val="22"/>
            </w:rPr>
            <w:t xml:space="preserve">– </w:t>
          </w:r>
          <w:r w:rsidR="003F045E">
            <w:rPr>
              <w:sz w:val="22"/>
              <w:szCs w:val="22"/>
            </w:rPr>
            <w:t>05.12.201</w:t>
          </w:r>
          <w:bookmarkStart w:id="0" w:name="_GoBack"/>
          <w:bookmarkEnd w:id="0"/>
          <w:r w:rsidR="00EF53E4">
            <w:rPr>
              <w:sz w:val="22"/>
              <w:szCs w:val="22"/>
            </w:rPr>
            <w:t>6</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EF53E4">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EF53E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w:t>
      </w:r>
      <w:proofErr w:type="gramStart"/>
      <w:r w:rsidRPr="004F424F">
        <w:rPr>
          <w:sz w:val="22"/>
          <w:szCs w:val="22"/>
        </w:rPr>
        <w:t xml:space="preserve">Объемы, виды и сроки выполнения </w:t>
      </w:r>
      <w:sdt>
        <w:sdtPr>
          <w:rPr>
            <w:sz w:val="22"/>
            <w:szCs w:val="22"/>
          </w:rPr>
          <w:id w:val="-915709269"/>
          <w:placeholder>
            <w:docPart w:val="FCCD8AF50E774BC0B9A67B5045EDDEA5"/>
          </w:placeholder>
        </w:sdtPr>
        <w:sdtContent>
          <w:r w:rsidR="000779B4" w:rsidRPr="00D30D0A">
            <w:rPr>
              <w:sz w:val="20"/>
              <w:szCs w:val="20"/>
            </w:rPr>
            <w:t xml:space="preserve">работ по монтажу автоматической пожарной сигнализации и автоматической системы </w:t>
          </w:r>
          <w:proofErr w:type="spellStart"/>
          <w:r w:rsidR="000779B4" w:rsidRPr="00D30D0A">
            <w:rPr>
              <w:sz w:val="20"/>
              <w:szCs w:val="20"/>
            </w:rPr>
            <w:t>газотушения</w:t>
          </w:r>
          <w:proofErr w:type="spellEnd"/>
          <w:r w:rsidR="000779B4" w:rsidRPr="00D30D0A">
            <w:rPr>
              <w:sz w:val="20"/>
              <w:szCs w:val="20"/>
            </w:rPr>
            <w:t xml:space="preserve"> на объектах завода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Content>
          <w:r w:rsidR="00F675EF">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w:t>
          </w:r>
          <w:r w:rsidR="00F675EF">
            <w:rPr>
              <w:rFonts w:cs="Arial"/>
              <w:sz w:val="22"/>
              <w:szCs w:val="22"/>
            </w:rPr>
            <w:t xml:space="preserve">не </w:t>
          </w:r>
          <w:r w:rsidR="001A78A6" w:rsidRPr="00800F5A">
            <w:rPr>
              <w:rFonts w:cs="Arial"/>
              <w:sz w:val="22"/>
              <w:szCs w:val="22"/>
            </w:rPr>
            <w:t>принимает на себя обязательство по обеспечению работ по п.</w:t>
          </w:r>
          <w:r w:rsidR="00F675EF">
            <w:rPr>
              <w:rFonts w:cs="Arial"/>
              <w:sz w:val="22"/>
              <w:szCs w:val="22"/>
            </w:rPr>
            <w:t>1.1 материалами и оборудованием</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F675EF">
            <w:rPr>
              <w:bCs/>
              <w:sz w:val="22"/>
              <w:szCs w:val="22"/>
            </w:rPr>
            <w:t>.</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lastRenderedPageBreak/>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B21F62">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B21F62">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91"/>
              <w:placeholder>
                <w:docPart w:val="5CD157523E074491A07A5F69FEA4B363"/>
              </w:placeholder>
            </w:sdt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675EF">
                <w:rPr>
                  <w:sz w:val="22"/>
                  <w:szCs w:val="22"/>
                </w:rPr>
                <w:t>5</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F675EF">
                <w:rPr>
                  <w:sz w:val="22"/>
                  <w:szCs w:val="22"/>
                </w:rPr>
                <w:t>5</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w:t>
          </w:r>
          <w:proofErr w:type="gramStart"/>
          <w:r w:rsidRPr="00DA631E">
            <w:rPr>
              <w:sz w:val="20"/>
              <w:szCs w:val="20"/>
            </w:rPr>
            <w:t>й-</w:t>
          </w:r>
          <w:proofErr w:type="gramEnd"/>
          <w:r w:rsidRPr="00DA631E">
            <w:rPr>
              <w:sz w:val="20"/>
              <w:szCs w:val="20"/>
            </w:rPr>
            <w:t xml:space="preserve"> ПРИ НЕОБХОДИМОСТИ</w:t>
          </w:r>
          <w:r w:rsidR="008A32E0">
            <w:rPr>
              <w:sz w:val="20"/>
              <w:szCs w:val="20"/>
            </w:rPr>
            <w:t>.</w:t>
          </w:r>
        </w:p>
        <w:p w:rsidR="00B55329" w:rsidRPr="00CE0211" w:rsidRDefault="00BF1BE6"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9B4" w:rsidRDefault="000779B4" w:rsidP="00F37490">
      <w:r>
        <w:separator/>
      </w:r>
    </w:p>
  </w:endnote>
  <w:endnote w:type="continuationSeparator" w:id="0">
    <w:p w:rsidR="000779B4" w:rsidRDefault="000779B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9B4" w:rsidRDefault="000779B4" w:rsidP="00F37490">
      <w:r>
        <w:separator/>
      </w:r>
    </w:p>
  </w:footnote>
  <w:footnote w:type="continuationSeparator" w:id="0">
    <w:p w:rsidR="000779B4" w:rsidRDefault="000779B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B4" w:rsidRDefault="000779B4">
    <w:pPr>
      <w:pStyle w:val="aa"/>
      <w:jc w:val="center"/>
    </w:pPr>
    <w:fldSimple w:instr=" PAGE   \* MERGEFORMAT ">
      <w:r w:rsidR="00F675EF">
        <w:rPr>
          <w:noProof/>
        </w:rPr>
        <w:t>12</w:t>
      </w:r>
    </w:fldSimple>
  </w:p>
  <w:p w:rsidR="000779B4" w:rsidRDefault="000779B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4ED3"/>
    <w:rsid w:val="00065435"/>
    <w:rsid w:val="00073F7B"/>
    <w:rsid w:val="000779B4"/>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97ACF"/>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E717B"/>
    <w:rsid w:val="003F045E"/>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076C3"/>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46A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273A6"/>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06B2"/>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496A"/>
    <w:rsid w:val="00B150BE"/>
    <w:rsid w:val="00B21F62"/>
    <w:rsid w:val="00B2564D"/>
    <w:rsid w:val="00B30933"/>
    <w:rsid w:val="00B471A2"/>
    <w:rsid w:val="00B50224"/>
    <w:rsid w:val="00B516D3"/>
    <w:rsid w:val="00B541D9"/>
    <w:rsid w:val="00B55329"/>
    <w:rsid w:val="00B55B83"/>
    <w:rsid w:val="00B64F44"/>
    <w:rsid w:val="00B770FE"/>
    <w:rsid w:val="00B82834"/>
    <w:rsid w:val="00B85455"/>
    <w:rsid w:val="00B91D0A"/>
    <w:rsid w:val="00BB6856"/>
    <w:rsid w:val="00BC1A00"/>
    <w:rsid w:val="00BC30C3"/>
    <w:rsid w:val="00BD0B72"/>
    <w:rsid w:val="00BD3BD3"/>
    <w:rsid w:val="00BE1966"/>
    <w:rsid w:val="00BF0A24"/>
    <w:rsid w:val="00BF1BE6"/>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3E4"/>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675EF"/>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customStyle="1" w:styleId="WW8Num2z0">
    <w:name w:val="WW8Num2z0"/>
    <w:rsid w:val="003F045E"/>
    <w:rPr>
      <w:rFonts w:ascii="Symbol" w:hAnsi="Symbol"/>
    </w:rPr>
  </w:style>
  <w:style w:type="character" w:styleId="af2">
    <w:name w:val="Strong"/>
    <w:uiPriority w:val="22"/>
    <w:qFormat/>
    <w:rsid w:val="003F04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4137E"/>
    <w:rsid w:val="000530DF"/>
    <w:rsid w:val="000E100C"/>
    <w:rsid w:val="0010518A"/>
    <w:rsid w:val="0011440F"/>
    <w:rsid w:val="00123A54"/>
    <w:rsid w:val="00133A76"/>
    <w:rsid w:val="001A74FA"/>
    <w:rsid w:val="001F55C5"/>
    <w:rsid w:val="002141EC"/>
    <w:rsid w:val="00293A22"/>
    <w:rsid w:val="002957C9"/>
    <w:rsid w:val="002D2E70"/>
    <w:rsid w:val="00320319"/>
    <w:rsid w:val="00343B3A"/>
    <w:rsid w:val="003A20E5"/>
    <w:rsid w:val="00473093"/>
    <w:rsid w:val="004A585A"/>
    <w:rsid w:val="00564365"/>
    <w:rsid w:val="00596544"/>
    <w:rsid w:val="005B5FFC"/>
    <w:rsid w:val="005F5E4E"/>
    <w:rsid w:val="006C530A"/>
    <w:rsid w:val="00747539"/>
    <w:rsid w:val="008003BB"/>
    <w:rsid w:val="00876D14"/>
    <w:rsid w:val="008D4508"/>
    <w:rsid w:val="008E5575"/>
    <w:rsid w:val="008E7C69"/>
    <w:rsid w:val="00A33E19"/>
    <w:rsid w:val="00B26A09"/>
    <w:rsid w:val="00B8324E"/>
    <w:rsid w:val="00C20AA1"/>
    <w:rsid w:val="00C7753B"/>
    <w:rsid w:val="00C86120"/>
    <w:rsid w:val="00CB4123"/>
    <w:rsid w:val="00D97971"/>
    <w:rsid w:val="00E57571"/>
    <w:rsid w:val="00EB438A"/>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A22"/>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 w:type="paragraph" w:customStyle="1" w:styleId="DA1219FB9F974DF994E7E3EA093AB5D3">
    <w:name w:val="DA1219FB9F974DF994E7E3EA093AB5D3"/>
    <w:rsid w:val="00293A2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77DE5-9525-4E1B-8DC3-5B05D796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7947</Words>
  <Characters>45299</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2016-06-02T11:58:00Z</cp:lastPrinted>
  <dcterms:created xsi:type="dcterms:W3CDTF">2016-06-02T12:11:00Z</dcterms:created>
  <dcterms:modified xsi:type="dcterms:W3CDTF">2016-06-02T12:11:00Z</dcterms:modified>
</cp:coreProperties>
</file>